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i w:val="1"/>
          <w:iCs w:val="1"/>
          <w:sz w:val="24"/>
          <w:szCs w:val="24"/>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 Comportamentul Votantului (CV)</w:t>
      </w:r>
    </w:p>
    <w:p w:rsidR="00000000" w:rsidDel="00000000" w:rsidP="00000000" w:rsidRDefault="00000000" w:rsidRPr="00000000" w14:paraId="0000000B">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E">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3</w:t>
      </w: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2</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color w:val="000000"/>
          <w:rtl w:val="0"/>
        </w:rPr>
        <w:t xml:space="preserve">Conf. Univ. Dr. Mihai Ungureanu</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8">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Utilizarea conceptelor fundamentale din domeniul politicii comparate și analizei spațiale si în descrierea și explicarea genezei și derulării unor evenimente și procese politice;</w:t>
      </w:r>
    </w:p>
    <w:p w:rsidR="00000000" w:rsidDel="00000000" w:rsidP="00000000" w:rsidRDefault="00000000" w:rsidRPr="00000000" w14:paraId="00000029">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Elaborarea și gestionarea proiectelor de cercetare folosind cadre teoretice si metode specifice disciplinei;</w:t>
      </w:r>
    </w:p>
    <w:p w:rsidR="00000000" w:rsidDel="00000000" w:rsidP="00000000" w:rsidRDefault="00000000" w:rsidRPr="00000000" w14:paraId="0000002A">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Utilizarea conceptelor fundamentale specifice disciplinei în interpretarea unor situații socio-politice concrete;</w:t>
      </w:r>
    </w:p>
    <w:p w:rsidR="00000000" w:rsidDel="00000000" w:rsidP="00000000" w:rsidRDefault="00000000" w:rsidRPr="00000000" w14:paraId="0000002B">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Utilizarea metodologiei de tip alegere rațională și a abordărilor concurente (psihologie, economie comportamentală) pentru înțelegerea comportamentului electoral (al elitelor politice și al votanților)</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tl w:val="0"/>
        </w:rPr>
      </w:r>
    </w:p>
    <w:tbl>
      <w:tblPr>
        <w:tblStyle w:val="Table2"/>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9"/>
        <w:tblGridChange w:id="0">
          <w:tblGrid>
            <w:gridCol w:w="9639"/>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r>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Limba Engleză</w:t>
            </w:r>
          </w:p>
        </w:tc>
      </w:tr>
      <w:tr>
        <w:trPr>
          <w:cantSplit w:val="0"/>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Instituții Politice (opțional)</w:t>
            </w:r>
          </w:p>
        </w:tc>
      </w:tr>
      <w:tr>
        <w:trPr>
          <w:cantSplit w:val="0"/>
          <w:tblHeader w:val="0"/>
        </w:trPr>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Metode de Cercetare Socială și Politică (opțional)</w:t>
            </w:r>
          </w:p>
        </w:tc>
      </w:tr>
      <w:tr>
        <w:trPr>
          <w:cantSplit w:val="0"/>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Teoria Alegerii Rationale (optional)</w:t>
            </w:r>
          </w:p>
        </w:tc>
      </w:tr>
    </w:tbl>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Disciplina Comportamentul Votantului vizează următoarele competențe profesionale specifice programului de studiu:</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(C1):</w:t>
      </w:r>
      <w:r w:rsidDel="00000000" w:rsidR="00000000" w:rsidRPr="00000000">
        <w:rPr>
          <w:rFonts w:ascii="Times New Roman" w:cs="Times New Roman" w:eastAsia="Times New Roman" w:hAnsi="Times New Roman"/>
          <w:color w:val="000000"/>
          <w:rtl w:val="0"/>
        </w:rPr>
        <w:t xml:space="preserve"> Aplicarea fundamentelor psihologice, economice și instituționaliste în înțelegerea, analizarea și evaluarea comportamentului electoral</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(C2):</w:t>
      </w:r>
      <w:r w:rsidDel="00000000" w:rsidR="00000000" w:rsidRPr="00000000">
        <w:rPr>
          <w:rFonts w:ascii="Times New Roman" w:cs="Times New Roman" w:eastAsia="Times New Roman" w:hAnsi="Times New Roman"/>
          <w:color w:val="000000"/>
          <w:rtl w:val="0"/>
        </w:rPr>
        <w:t xml:space="preserve"> Elaborarea de proiecte de cercetare având teme specifice disciplinei.</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(C3):</w:t>
      </w:r>
      <w:r w:rsidDel="00000000" w:rsidR="00000000" w:rsidRPr="00000000">
        <w:rPr>
          <w:rFonts w:ascii="Times New Roman" w:cs="Times New Roman" w:eastAsia="Times New Roman" w:hAnsi="Times New Roman"/>
          <w:color w:val="000000"/>
          <w:rtl w:val="0"/>
        </w:rPr>
        <w:t xml:space="preserve"> Utilizarea metodologiei comparative si a analizei spațiale pentru analizarea sistemelor social-politice.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color w:val="000000"/>
          <w:rtl w:val="0"/>
        </w:rPr>
        <w:t xml:space="preserve">(C4):</w:t>
      </w:r>
      <w:r w:rsidDel="00000000" w:rsidR="00000000" w:rsidRPr="00000000">
        <w:rPr>
          <w:rFonts w:ascii="Times New Roman" w:cs="Times New Roman" w:eastAsia="Times New Roman" w:hAnsi="Times New Roman"/>
          <w:color w:val="000000"/>
          <w:rtl w:val="0"/>
        </w:rPr>
        <w:t xml:space="preserve"> Susținerea și promovarea valorilor democratice.</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i w:val="1"/>
          <w:iCs w:val="1"/>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3B">
            <w:pPr>
              <w:spacing w:after="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Elaborarea fişei disciplinei Comportamentul Votantului a avut loc în urma discutării conţinutului disciplinei şi a cerinţelor practice cu specialişti şi practicieni din domeniu, dar şi pornind de la competenţele profesionale cerute de piaţa muncii.</w:t>
            </w:r>
            <w:r w:rsidDel="00000000" w:rsidR="00000000" w:rsidRPr="00000000">
              <w:rPr>
                <w:rtl w:val="0"/>
              </w:rPr>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i w:val="1"/>
          <w:iCs w:val="1"/>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3D">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3E">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3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 Studentul/Absolventul recunoaște, alege și utilizează metode și tehnici de cercetare pentru realizarea unui studiu.</w:t>
            </w:r>
          </w:p>
          <w:p w:rsidR="00000000" w:rsidDel="00000000" w:rsidP="00000000" w:rsidRDefault="00000000" w:rsidRPr="00000000" w14:paraId="0000004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C5: Studentul/Absolventul recunoaște, analizează și explică metoda, procesul și studiul de influențare a oamenilor, de dobândire a controlului asupra unei comunități sau a unei societăți, precum și repartizarea puterilor în cadrul unei comunități și între societăți.</w:t>
            </w:r>
          </w:p>
          <w:p w:rsidR="00000000" w:rsidDel="00000000" w:rsidP="00000000" w:rsidRDefault="00000000" w:rsidRPr="00000000" w14:paraId="00000042">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6">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r w:rsidDel="00000000" w:rsidR="00000000" w:rsidRPr="00000000">
              <w:rPr>
                <w:rtl w:val="0"/>
              </w:rPr>
            </w:r>
          </w:p>
          <w:p w:rsidR="00000000" w:rsidDel="00000000" w:rsidP="00000000" w:rsidRDefault="00000000" w:rsidRPr="00000000" w14:paraId="00000047">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8">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R6: Studentul/Absolventul vorbește într-un mod structurat, deliberat și față în față cu un grup de ascultători pentru a-i informa sau influența.</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i w:val="1"/>
                <w:iCs w:val="1"/>
              </w:rPr>
            </w:pPr>
            <w:r w:rsidDel="00000000" w:rsidR="00000000" w:rsidRPr="00000000">
              <w:rPr>
                <w:rtl w:val="0"/>
              </w:rPr>
            </w:r>
          </w:p>
        </w:tc>
      </w:tr>
    </w:tbl>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i w:val="1"/>
          <w:iCs w:val="1"/>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și aplicații</w:t>
      </w:r>
    </w:p>
    <w:tbl>
      <w:tblPr>
        <w:tblStyle w:val="Table5"/>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65"/>
        <w:gridCol w:w="3960"/>
        <w:gridCol w:w="2822"/>
        <w:tblGridChange w:id="0">
          <w:tblGrid>
            <w:gridCol w:w="2965"/>
            <w:gridCol w:w="3960"/>
            <w:gridCol w:w="2822"/>
          </w:tblGrid>
        </w:tblGridChange>
      </w:tblGrid>
      <w:tr>
        <w:trPr>
          <w:cantSplit w:val="0"/>
          <w:tblHeader w:val="0"/>
        </w:trPr>
        <w:tc>
          <w:tcPr/>
          <w:p w:rsidR="00000000" w:rsidDel="00000000" w:rsidP="00000000" w:rsidRDefault="00000000" w:rsidRPr="00000000" w14:paraId="0000005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Tematică</w:t>
            </w:r>
          </w:p>
        </w:tc>
        <w:tc>
          <w:tcPr/>
          <w:p w:rsidR="00000000" w:rsidDel="00000000" w:rsidP="00000000" w:rsidRDefault="00000000" w:rsidRPr="00000000" w14:paraId="0000005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5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Introducere în Comportament și Instituții Electorale</w:t>
            </w:r>
          </w:p>
        </w:tc>
        <w:tc>
          <w:tcPr/>
          <w:p w:rsidR="00000000" w:rsidDel="00000000" w:rsidP="00000000" w:rsidRDefault="00000000" w:rsidRPr="00000000" w14:paraId="00000054">
            <w:pPr>
              <w:numPr>
                <w:ilvl w:val="0"/>
                <w:numId w:val="1"/>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 Prezentarea disciplinei, a regulilor și a principalelor teme abordate.</w:t>
            </w:r>
          </w:p>
        </w:tc>
        <w:tc>
          <w:tcPr/>
          <w:p w:rsidR="00000000" w:rsidDel="00000000" w:rsidP="00000000" w:rsidRDefault="00000000" w:rsidRPr="00000000" w14:paraId="0000005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[C1]</w:t>
            </w:r>
          </w:p>
          <w:p w:rsidR="00000000" w:rsidDel="00000000" w:rsidP="00000000" w:rsidRDefault="00000000" w:rsidRPr="00000000" w14:paraId="0000005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w:t>
            </w:r>
            <w:r w:rsidDel="00000000" w:rsidR="00000000" w:rsidRPr="00000000">
              <w:rPr>
                <w:rFonts w:ascii="Times New Roman" w:cs="Times New Roman" w:eastAsia="Times New Roman" w:hAnsi="Times New Roman"/>
                <w:vertAlign w:val="superscript"/>
              </w:rPr>
              <w:footnoteReference w:customMarkFollows="0" w:id="0"/>
            </w:r>
            <w:r w:rsidDel="00000000" w:rsidR="00000000" w:rsidRPr="00000000">
              <w:rPr>
                <w:rFonts w:ascii="Times New Roman" w:cs="Times New Roman" w:eastAsia="Times New Roman" w:hAnsi="Times New Roman"/>
                <w:rtl w:val="0"/>
              </w:rPr>
              <w:t xml:space="preserve">=0</w:t>
            </w:r>
          </w:p>
          <w:p w:rsidR="00000000" w:rsidDel="00000000" w:rsidP="00000000" w:rsidRDefault="00000000" w:rsidRPr="00000000" w14:paraId="0000005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[S1]</w:t>
            </w:r>
          </w:p>
          <w:p w:rsidR="00000000" w:rsidDel="00000000" w:rsidP="00000000" w:rsidRDefault="00000000" w:rsidRPr="00000000" w14:paraId="0000005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SIs=0</w:t>
            </w:r>
          </w:p>
        </w:tc>
      </w:tr>
      <w:tr>
        <w:trPr>
          <w:cantSplit w:val="0"/>
          <w:tblHeader w:val="0"/>
        </w:trPr>
        <w:tc>
          <w:tcPr>
            <w:gridSpan w:val="3"/>
          </w:tcPr>
          <w:p w:rsidR="00000000" w:rsidDel="00000000" w:rsidP="00000000" w:rsidRDefault="00000000" w:rsidRPr="00000000" w14:paraId="0000005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Partea 1: instituții electorale și comportamentul votanților și politicienilor</w:t>
            </w:r>
          </w:p>
        </w:tc>
      </w:tr>
      <w:tr>
        <w:trPr>
          <w:cantSplit w:val="0"/>
          <w:tblHeader w:val="0"/>
        </w:trPr>
        <w:tc>
          <w:tcPr/>
          <w:p w:rsidR="00000000" w:rsidDel="00000000" w:rsidP="00000000" w:rsidRDefault="00000000" w:rsidRPr="00000000" w14:paraId="0000005C">
            <w:pPr>
              <w:numPr>
                <w:ilvl w:val="0"/>
                <w:numId w:val="2"/>
              </w:numPr>
              <w:pBdr>
                <w:top w:space="0" w:sz="0" w:val="nil"/>
                <w:left w:space="0" w:sz="0" w:val="nil"/>
                <w:bottom w:space="0" w:sz="0" w:val="nil"/>
                <w:right w:space="0" w:sz="0" w:val="nil"/>
                <w:between w:space="0" w:sz="0" w:val="nil"/>
              </w:pBdr>
              <w:spacing w:after="0" w:line="360" w:lineRule="auto"/>
              <w:ind w:left="284" w:hanging="284"/>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Abordarea comparativă a sistemelor electorale</w:t>
            </w:r>
          </w:p>
        </w:tc>
        <w:tc>
          <w:tcPr/>
          <w:p w:rsidR="00000000" w:rsidDel="00000000" w:rsidP="00000000" w:rsidRDefault="00000000" w:rsidRPr="00000000" w14:paraId="0000005D">
            <w:pPr>
              <w:spacing w:after="86" w:line="360"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 tipologia sistemelor electorale</w:t>
            </w:r>
          </w:p>
          <w:p w:rsidR="00000000" w:rsidDel="00000000" w:rsidP="00000000" w:rsidRDefault="00000000" w:rsidRPr="00000000" w14:paraId="0000005E">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i w:val="1"/>
                <w:iCs w:val="1"/>
                <w:color w:val="000000"/>
                <w:rtl w:val="0"/>
              </w:rPr>
              <w:t xml:space="preserve">- </w:t>
            </w:r>
            <w:r w:rsidDel="00000000" w:rsidR="00000000" w:rsidRPr="00000000">
              <w:rPr>
                <w:rFonts w:ascii="Times New Roman" w:cs="Times New Roman" w:eastAsia="Times New Roman" w:hAnsi="Times New Roman"/>
                <w:color w:val="000000"/>
                <w:rtl w:val="0"/>
              </w:rPr>
              <w:t xml:space="preserve">formulele electorale, </w:t>
            </w:r>
          </w:p>
          <w:p w:rsidR="00000000" w:rsidDel="00000000" w:rsidP="00000000" w:rsidRDefault="00000000" w:rsidRPr="00000000" w14:paraId="0000005F">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magnitudinea circumscripției, </w:t>
            </w:r>
          </w:p>
          <w:p w:rsidR="00000000" w:rsidDel="00000000" w:rsidP="00000000" w:rsidRDefault="00000000" w:rsidRPr="00000000" w14:paraId="00000060">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pragul electoral (legal și efectiv), </w:t>
            </w:r>
          </w:p>
          <w:p w:rsidR="00000000" w:rsidDel="00000000" w:rsidP="00000000" w:rsidRDefault="00000000" w:rsidRPr="00000000" w14:paraId="00000061">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mărimea legislativului, </w:t>
            </w:r>
          </w:p>
          <w:p w:rsidR="00000000" w:rsidDel="00000000" w:rsidP="00000000" w:rsidRDefault="00000000" w:rsidRPr="00000000" w14:paraId="00000062">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legăturile electorale dintre partide,</w:t>
            </w:r>
          </w:p>
          <w:p w:rsidR="00000000" w:rsidDel="00000000" w:rsidP="00000000" w:rsidRDefault="00000000" w:rsidRPr="00000000" w14:paraId="00000063">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prezidențialismul, </w:t>
            </w:r>
          </w:p>
          <w:p w:rsidR="00000000" w:rsidDel="00000000" w:rsidP="00000000" w:rsidRDefault="00000000" w:rsidRPr="00000000" w14:paraId="00000064">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distribuția inechitabilă, </w:t>
            </w:r>
          </w:p>
          <w:p w:rsidR="00000000" w:rsidDel="00000000" w:rsidP="00000000" w:rsidRDefault="00000000" w:rsidRPr="00000000" w14:paraId="00000065">
            <w:pP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structura votului.</w:t>
            </w:r>
          </w:p>
        </w:tc>
        <w:tc>
          <w:tcPr/>
          <w:p w:rsidR="00000000" w:rsidDel="00000000" w:rsidP="00000000" w:rsidRDefault="00000000" w:rsidRPr="00000000" w14:paraId="0000006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[C2]</w:t>
            </w:r>
          </w:p>
          <w:p w:rsidR="00000000" w:rsidDel="00000000" w:rsidP="00000000" w:rsidRDefault="00000000" w:rsidRPr="00000000" w14:paraId="0000006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SIc=4h</w:t>
            </w:r>
          </w:p>
          <w:p w:rsidR="00000000" w:rsidDel="00000000" w:rsidP="00000000" w:rsidRDefault="00000000" w:rsidRPr="00000000" w14:paraId="0000006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[S2]</w:t>
            </w:r>
          </w:p>
          <w:p w:rsidR="00000000" w:rsidDel="00000000" w:rsidP="00000000" w:rsidRDefault="00000000" w:rsidRPr="00000000" w14:paraId="0000006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SIs=4h</w:t>
            </w:r>
          </w:p>
          <w:p w:rsidR="00000000" w:rsidDel="00000000" w:rsidP="00000000" w:rsidRDefault="00000000" w:rsidRPr="00000000" w14:paraId="0000006A">
            <w:pPr>
              <w:spacing w:after="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 Comportamentul elitelor politice în funcție de instituțiile electorale</w:t>
            </w:r>
          </w:p>
        </w:tc>
        <w:tc>
          <w:tcPr/>
          <w:p w:rsidR="00000000" w:rsidDel="00000000" w:rsidP="00000000" w:rsidRDefault="00000000" w:rsidRPr="00000000" w14:paraId="0000006C">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noțiuni fundamentale de analiza spatiala</w:t>
            </w:r>
          </w:p>
          <w:p w:rsidR="00000000" w:rsidDel="00000000" w:rsidP="00000000" w:rsidRDefault="00000000" w:rsidRPr="00000000" w14:paraId="0000006D">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teorema votantului median</w:t>
            </w:r>
          </w:p>
          <w:p w:rsidR="00000000" w:rsidDel="00000000" w:rsidP="00000000" w:rsidRDefault="00000000" w:rsidRPr="00000000" w14:paraId="0000006E">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modelul proximitatii</w:t>
            </w:r>
          </w:p>
          <w:p w:rsidR="00000000" w:rsidDel="00000000" w:rsidP="00000000" w:rsidRDefault="00000000" w:rsidRPr="00000000" w14:paraId="0000006F">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 modelul directional</w:t>
            </w:r>
          </w:p>
        </w:tc>
        <w:tc>
          <w:tcPr/>
          <w:p w:rsidR="00000000" w:rsidDel="00000000" w:rsidP="00000000" w:rsidRDefault="00000000" w:rsidRPr="00000000" w14:paraId="0000007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[C3]</w:t>
            </w:r>
          </w:p>
          <w:p w:rsidR="00000000" w:rsidDel="00000000" w:rsidP="00000000" w:rsidRDefault="00000000" w:rsidRPr="00000000" w14:paraId="0000007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SIc=4h</w:t>
            </w:r>
          </w:p>
          <w:p w:rsidR="00000000" w:rsidDel="00000000" w:rsidP="00000000" w:rsidRDefault="00000000" w:rsidRPr="00000000" w14:paraId="0000007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[S3]</w:t>
            </w:r>
          </w:p>
          <w:p w:rsidR="00000000" w:rsidDel="00000000" w:rsidP="00000000" w:rsidRDefault="00000000" w:rsidRPr="00000000" w14:paraId="0000007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SIs=4h</w:t>
            </w:r>
          </w:p>
          <w:p w:rsidR="00000000" w:rsidDel="00000000" w:rsidP="00000000" w:rsidRDefault="00000000" w:rsidRPr="00000000" w14:paraId="00000074">
            <w:pPr>
              <w:spacing w:after="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3. Comportamentul votanților în funcție de instituțiile electorale: votul strategic</w:t>
            </w:r>
          </w:p>
        </w:tc>
        <w:tc>
          <w:tcPr/>
          <w:p w:rsidR="00000000" w:rsidDel="00000000" w:rsidP="00000000" w:rsidRDefault="00000000" w:rsidRPr="00000000" w14:paraId="00000076">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votul strategic istoric: legea lui Duverger;</w:t>
            </w:r>
          </w:p>
          <w:p w:rsidR="00000000" w:rsidDel="00000000" w:rsidP="00000000" w:rsidRDefault="00000000" w:rsidRPr="00000000" w14:paraId="00000077">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vot strategic în sistemele electorale majoritare</w:t>
            </w:r>
          </w:p>
          <w:p w:rsidR="00000000" w:rsidDel="00000000" w:rsidP="00000000" w:rsidRDefault="00000000" w:rsidRPr="00000000" w14:paraId="00000078">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vot strategic în sistemele electorale mixte și proporționale</w:t>
            </w:r>
          </w:p>
        </w:tc>
        <w:tc>
          <w:tcPr/>
          <w:p w:rsidR="00000000" w:rsidDel="00000000" w:rsidP="00000000" w:rsidRDefault="00000000" w:rsidRPr="00000000" w14:paraId="0000007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[C4]</w:t>
            </w:r>
          </w:p>
          <w:p w:rsidR="00000000" w:rsidDel="00000000" w:rsidP="00000000" w:rsidRDefault="00000000" w:rsidRPr="00000000" w14:paraId="0000007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SIc=4h</w:t>
            </w:r>
          </w:p>
          <w:p w:rsidR="00000000" w:rsidDel="00000000" w:rsidP="00000000" w:rsidRDefault="00000000" w:rsidRPr="00000000" w14:paraId="0000007B">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[S4]</w:t>
            </w:r>
          </w:p>
          <w:p w:rsidR="00000000" w:rsidDel="00000000" w:rsidP="00000000" w:rsidRDefault="00000000" w:rsidRPr="00000000" w14:paraId="0000007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SIs=4h</w:t>
            </w:r>
          </w:p>
          <w:p w:rsidR="00000000" w:rsidDel="00000000" w:rsidP="00000000" w:rsidRDefault="00000000" w:rsidRPr="00000000" w14:paraId="0000007D">
            <w:pPr>
              <w:spacing w:after="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7E">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Partea 2: Abordări concurente ale comportamentului electoral</w:t>
            </w:r>
          </w:p>
        </w:tc>
      </w:tr>
      <w:tr>
        <w:trPr>
          <w:cantSplit w:val="0"/>
          <w:tblHeader w:val="0"/>
        </w:trPr>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4. Abordări economice ale comportamentului electoral </w:t>
            </w:r>
          </w:p>
        </w:tc>
        <w:tc>
          <w:tcPr/>
          <w:p w:rsidR="00000000" w:rsidDel="00000000" w:rsidP="00000000" w:rsidRDefault="00000000" w:rsidRPr="00000000" w14:paraId="00000082">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modelul calculului votului,</w:t>
            </w:r>
          </w:p>
          <w:p w:rsidR="00000000" w:rsidDel="00000000" w:rsidP="00000000" w:rsidRDefault="00000000" w:rsidRPr="00000000" w14:paraId="00000083">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modelul votantului altruist</w:t>
            </w:r>
          </w:p>
          <w:p w:rsidR="00000000" w:rsidDel="00000000" w:rsidP="00000000" w:rsidRDefault="00000000" w:rsidRPr="00000000" w14:paraId="00000084">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modelul votantului expresiv</w:t>
            </w:r>
          </w:p>
          <w:p w:rsidR="00000000" w:rsidDel="00000000" w:rsidP="00000000" w:rsidRDefault="00000000" w:rsidRPr="00000000" w14:paraId="00000085">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modelul votantului rațional-irațional</w:t>
            </w:r>
          </w:p>
        </w:tc>
        <w:tc>
          <w:tcPr/>
          <w:p w:rsidR="00000000" w:rsidDel="00000000" w:rsidP="00000000" w:rsidRDefault="00000000" w:rsidRPr="00000000" w14:paraId="0000008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C=8h [C5, C6, C7, C8]</w:t>
            </w:r>
          </w:p>
          <w:p w:rsidR="00000000" w:rsidDel="00000000" w:rsidP="00000000" w:rsidRDefault="00000000" w:rsidRPr="00000000" w14:paraId="0000008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SIc=13h</w:t>
            </w:r>
          </w:p>
          <w:p w:rsidR="00000000" w:rsidDel="00000000" w:rsidP="00000000" w:rsidRDefault="00000000" w:rsidRPr="00000000" w14:paraId="0000008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[S5, S6, S7, S8]</w:t>
            </w:r>
          </w:p>
          <w:p w:rsidR="00000000" w:rsidDel="00000000" w:rsidP="00000000" w:rsidRDefault="00000000" w:rsidRPr="00000000" w14:paraId="0000008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SIs=14h</w:t>
            </w:r>
          </w:p>
        </w:tc>
      </w:tr>
      <w:tr>
        <w:trPr>
          <w:cantSplit w:val="0"/>
          <w:tblHeader w:val="0"/>
        </w:trPr>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5. Abordări psihologice ale comportamentului electoral</w:t>
            </w:r>
          </w:p>
        </w:tc>
        <w:tc>
          <w:tcPr/>
          <w:p w:rsidR="00000000" w:rsidDel="00000000" w:rsidP="00000000" w:rsidRDefault="00000000" w:rsidRPr="00000000" w14:paraId="0000008B">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modelul minimax regret</w:t>
            </w:r>
          </w:p>
          <w:p w:rsidR="00000000" w:rsidDel="00000000" w:rsidP="00000000" w:rsidRDefault="00000000" w:rsidRPr="00000000" w14:paraId="0000008C">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iluzia votantului</w:t>
            </w:r>
          </w:p>
          <w:p w:rsidR="00000000" w:rsidDel="00000000" w:rsidP="00000000" w:rsidRDefault="00000000" w:rsidRPr="00000000" w14:paraId="0000008D">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credința în relevanța personală</w:t>
            </w:r>
          </w:p>
          <w:p w:rsidR="00000000" w:rsidDel="00000000" w:rsidP="00000000" w:rsidRDefault="00000000" w:rsidRPr="00000000" w14:paraId="0000008E">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disonanță cognitivă și vot</w:t>
            </w:r>
          </w:p>
          <w:p w:rsidR="00000000" w:rsidDel="00000000" w:rsidP="00000000" w:rsidRDefault="00000000" w:rsidRPr="00000000" w14:paraId="0000008F">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problema auto-amăgirii</w:t>
            </w:r>
          </w:p>
          <w:p w:rsidR="00000000" w:rsidDel="00000000" w:rsidP="00000000" w:rsidRDefault="00000000" w:rsidRPr="00000000" w14:paraId="00000090">
            <w:pPr>
              <w:numPr>
                <w:ilvl w:val="1"/>
                <w:numId w:val="3"/>
              </w:numPr>
              <w:spacing w:after="0" w:line="360" w:lineRule="auto"/>
              <w:ind w:left="145" w:hanging="145"/>
              <w:jc w:val="both"/>
              <w:rPr/>
            </w:pPr>
            <w:r w:rsidDel="00000000" w:rsidR="00000000" w:rsidRPr="00000000">
              <w:rPr>
                <w:rFonts w:ascii="Times New Roman" w:cs="Times New Roman" w:eastAsia="Times New Roman" w:hAnsi="Times New Roman"/>
                <w:rtl w:val="0"/>
              </w:rPr>
              <w:t xml:space="preserve">influența competenței faciale</w:t>
            </w:r>
          </w:p>
        </w:tc>
        <w:tc>
          <w:tcPr/>
          <w:p w:rsidR="00000000" w:rsidDel="00000000" w:rsidP="00000000" w:rsidRDefault="00000000" w:rsidRPr="00000000" w14:paraId="0000009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C=8h [C9, C10, C11, C12]</w:t>
            </w:r>
          </w:p>
          <w:p w:rsidR="00000000" w:rsidDel="00000000" w:rsidP="00000000" w:rsidRDefault="00000000" w:rsidRPr="00000000" w14:paraId="0000009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SIc=15h</w:t>
            </w:r>
          </w:p>
          <w:p w:rsidR="00000000" w:rsidDel="00000000" w:rsidP="00000000" w:rsidRDefault="00000000" w:rsidRPr="00000000" w14:paraId="0000009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S=8h [S9, S10, S11, S12]</w:t>
            </w:r>
          </w:p>
          <w:p w:rsidR="00000000" w:rsidDel="00000000" w:rsidP="00000000" w:rsidRDefault="00000000" w:rsidRPr="00000000" w14:paraId="0000009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SIs=14h</w:t>
            </w:r>
          </w:p>
          <w:p w:rsidR="00000000" w:rsidDel="00000000" w:rsidP="00000000" w:rsidRDefault="00000000" w:rsidRPr="00000000" w14:paraId="00000095">
            <w:pPr>
              <w:spacing w:after="0" w:line="360" w:lineRule="auto"/>
              <w:rPr>
                <w:rFonts w:ascii="Times New Roman" w:cs="Times New Roman" w:eastAsia="Times New Roman" w:hAnsi="Times New Roman"/>
              </w:rPr>
            </w:pPr>
            <w:r w:rsidDel="00000000" w:rsidR="00000000" w:rsidRPr="00000000">
              <w:rPr>
                <w:rtl w:val="0"/>
              </w:rPr>
            </w:r>
          </w:p>
        </w:tc>
      </w:tr>
      <w:tr>
        <w:trPr>
          <w:cantSplit w:val="0"/>
          <w:tblHeader w:val="0"/>
        </w:trPr>
        <w:tc>
          <w:tcPr>
            <w:gridSpan w:val="3"/>
          </w:tcPr>
          <w:p w:rsidR="00000000" w:rsidDel="00000000" w:rsidP="00000000" w:rsidRDefault="00000000" w:rsidRPr="00000000" w14:paraId="00000096">
            <w:pPr>
              <w:spacing w:after="0" w:line="36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Partea 3: Comportamentului electoral în România</w:t>
            </w:r>
          </w:p>
        </w:tc>
      </w:tr>
      <w:tr>
        <w:trPr>
          <w:cantSplit w:val="0"/>
          <w:tblHeader w:val="0"/>
        </w:trPr>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 Comportament electoral în România: instituții electorale și vot strategic</w:t>
            </w:r>
          </w:p>
        </w:tc>
        <w:tc>
          <w:tcPr/>
          <w:p w:rsidR="00000000" w:rsidDel="00000000" w:rsidP="00000000" w:rsidRDefault="00000000" w:rsidRPr="00000000" w14:paraId="0000009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instituții electorale in Romania;</w:t>
            </w:r>
          </w:p>
          <w:p w:rsidR="00000000" w:rsidDel="00000000" w:rsidP="00000000" w:rsidRDefault="00000000" w:rsidRPr="00000000" w14:paraId="0000009B">
            <w:pPr>
              <w:spacing w:after="86" w:line="360"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 alegerile locale și generale din 2012: vot strategic și comportament electoral.</w:t>
            </w:r>
          </w:p>
        </w:tc>
        <w:tc>
          <w:tcPr/>
          <w:p w:rsidR="00000000" w:rsidDel="00000000" w:rsidP="00000000" w:rsidRDefault="00000000" w:rsidRPr="00000000" w14:paraId="0000009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[C13]</w:t>
            </w:r>
          </w:p>
          <w:p w:rsidR="00000000" w:rsidDel="00000000" w:rsidP="00000000" w:rsidRDefault="00000000" w:rsidRPr="00000000" w14:paraId="0000009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SIc=3h</w:t>
            </w:r>
          </w:p>
          <w:p w:rsidR="00000000" w:rsidDel="00000000" w:rsidP="00000000" w:rsidRDefault="00000000" w:rsidRPr="00000000" w14:paraId="0000009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[S13]</w:t>
            </w:r>
          </w:p>
          <w:p w:rsidR="00000000" w:rsidDel="00000000" w:rsidP="00000000" w:rsidRDefault="00000000" w:rsidRPr="00000000" w14:paraId="0000009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SIs=2h</w:t>
            </w:r>
          </w:p>
        </w:tc>
      </w:tr>
      <w:tr>
        <w:trPr>
          <w:cantSplit w:val="0"/>
          <w:tblHeader w:val="0"/>
        </w:trPr>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7. Comportament electoral în România: calculul votului, altruism și expresivitate</w:t>
            </w:r>
          </w:p>
        </w:tc>
        <w:tc>
          <w:tcPr/>
          <w:p w:rsidR="00000000" w:rsidDel="00000000" w:rsidP="00000000" w:rsidRDefault="00000000" w:rsidRPr="00000000" w14:paraId="000000A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iCs w:val="1"/>
                <w:color w:val="000000"/>
                <w:rtl w:val="0"/>
              </w:rPr>
              <w:t xml:space="preserve">- experimente în cadrul proiectului CERGE Testing Economic Theories of Electoral Behavior in Romanian Context</w:t>
            </w:r>
            <w:r w:rsidDel="00000000" w:rsidR="00000000" w:rsidRPr="00000000">
              <w:rPr>
                <w:rtl w:val="0"/>
              </w:rPr>
            </w:r>
          </w:p>
        </w:tc>
        <w:tc>
          <w:tcPr/>
          <w:p w:rsidR="00000000" w:rsidDel="00000000" w:rsidP="00000000" w:rsidRDefault="00000000" w:rsidRPr="00000000" w14:paraId="000000A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[C14]</w:t>
            </w:r>
          </w:p>
          <w:p w:rsidR="00000000" w:rsidDel="00000000" w:rsidP="00000000" w:rsidRDefault="00000000" w:rsidRPr="00000000" w14:paraId="000000A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SIc=3h</w:t>
            </w:r>
          </w:p>
          <w:p w:rsidR="00000000" w:rsidDel="00000000" w:rsidP="00000000" w:rsidRDefault="00000000" w:rsidRPr="00000000" w14:paraId="000000A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S=2h [S14]</w:t>
            </w:r>
          </w:p>
          <w:p w:rsidR="00000000" w:rsidDel="00000000" w:rsidP="00000000" w:rsidRDefault="00000000" w:rsidRPr="00000000" w14:paraId="000000A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SIs=2h</w:t>
            </w:r>
          </w:p>
        </w:tc>
      </w:tr>
      <w:tr>
        <w:trPr>
          <w:cantSplit w:val="0"/>
          <w:trHeight w:val="376" w:hRule="atLeast"/>
          <w:tblHeader w:val="0"/>
        </w:trPr>
        <w:tc>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A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A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SIc=47h, S=28, SIs=47</w:t>
            </w:r>
          </w:p>
        </w:tc>
      </w:tr>
    </w:tbl>
    <w:p w:rsidR="00000000" w:rsidDel="00000000" w:rsidP="00000000" w:rsidRDefault="00000000" w:rsidRPr="00000000" w14:paraId="000000A9">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AA">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AB">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0AC">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0A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0A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0A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0B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w:t>
            </w:r>
          </w:p>
        </w:tc>
        <w:tc>
          <w:tcPr/>
          <w:p w:rsidR="00000000" w:rsidDel="00000000" w:rsidP="00000000" w:rsidRDefault="00000000" w:rsidRPr="00000000" w14:paraId="000000B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p w:rsidR="00000000" w:rsidDel="00000000" w:rsidP="00000000" w:rsidRDefault="00000000" w:rsidRPr="00000000" w14:paraId="000000B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0B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și 3 teste)</w:t>
            </w:r>
          </w:p>
        </w:tc>
        <w:tc>
          <w:tcPr/>
          <w:p w:rsidR="00000000" w:rsidDel="00000000" w:rsidP="00000000" w:rsidRDefault="00000000" w:rsidRPr="00000000" w14:paraId="000000B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0B5">
      <w:pP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6">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9"/>
        <w:gridCol w:w="8112"/>
        <w:tblGridChange w:id="0">
          <w:tblGrid>
            <w:gridCol w:w="1669"/>
            <w:gridCol w:w="8112"/>
          </w:tblGrid>
        </w:tblGridChange>
      </w:tblGrid>
      <w:tr>
        <w:trPr>
          <w:cantSplit w:val="0"/>
          <w:tblHeader w:val="0"/>
        </w:trPr>
        <w:tc>
          <w:tcPr/>
          <w:p w:rsidR="00000000" w:rsidDel="00000000" w:rsidP="00000000" w:rsidRDefault="00000000" w:rsidRPr="00000000" w14:paraId="000000B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0B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vMerge w:val="restart"/>
          </w:tcPr>
          <w:p w:rsidR="00000000" w:rsidDel="00000000" w:rsidP="00000000" w:rsidRDefault="00000000" w:rsidRPr="00000000" w14:paraId="000000B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0BA">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adecvată a următorilor termeni: formula electorala, magnitudinea circumscripției, prag electoral, distanta electorala, direcție electorala, vot altruist, vot expresiv, iraționalitate rațională, vot strategic, iluzia votantului, disonanță cognitivă;</w:t>
            </w:r>
          </w:p>
        </w:tc>
      </w:tr>
      <w:tr>
        <w:trPr>
          <w:cantSplit w:val="0"/>
          <w:trHeight w:val="345" w:hRule="atLeast"/>
          <w:tblHeader w:val="0"/>
        </w:trPr>
        <w:tc>
          <w:tcPr>
            <w:vMerge w:val="continue"/>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C">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explica pe scurt influența sistemelor electorale asupra comportamentului votanților și politicienilor</w:t>
            </w:r>
          </w:p>
        </w:tc>
      </w:tr>
      <w:tr>
        <w:trPr>
          <w:cantSplit w:val="0"/>
          <w:trHeight w:val="441" w:hRule="atLeast"/>
          <w:tblHeader w:val="0"/>
        </w:trPr>
        <w:tc>
          <w:tcPr>
            <w:vMerge w:val="continue"/>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E">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descrie pe scurt principalele abordări ale comportamentului electoral </w:t>
            </w:r>
          </w:p>
        </w:tc>
      </w:tr>
      <w:tr>
        <w:trPr>
          <w:cantSplit w:val="0"/>
          <w:trHeight w:val="315" w:hRule="atLeast"/>
          <w:tblHeader w:val="0"/>
        </w:trPr>
        <w:tc>
          <w:tcPr>
            <w:vMerge w:val="restart"/>
          </w:tcPr>
          <w:p w:rsidR="00000000" w:rsidDel="00000000" w:rsidP="00000000" w:rsidRDefault="00000000" w:rsidRPr="00000000" w14:paraId="000000B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0C0">
            <w:pP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Înțelegerea și utilizarea adecvată a următoarelor concepte/termeni: sisteme electorale majoritare și proporționale, formula electorala, magnitudinea circumscripției, prag electoral, mărimea legislativului, structura votului, prezidențialismul, legăturile electorale dintre partide, distribuția inechitabila, votant median, punct ideal, distanta electorala, direcție electorala, </w:t>
            </w:r>
            <w:r w:rsidDel="00000000" w:rsidR="00000000" w:rsidRPr="00000000">
              <w:rPr>
                <w:rFonts w:ascii="Times New Roman" w:cs="Times New Roman" w:eastAsia="Times New Roman" w:hAnsi="Times New Roman"/>
                <w:color w:val="000000"/>
                <w:rtl w:val="0"/>
              </w:rPr>
              <w:t xml:space="preserve">disonanță cognitivă, vot strategic, iluzia votului, auto-amăgirea, big 5, auto-eficacitatea generală și specifică, votul altruist, votul non instrumental, calculul votului, iraționalitatea rațională, vot expresiv, competență facială.</w:t>
            </w:r>
          </w:p>
          <w:p w:rsidR="00000000" w:rsidDel="00000000" w:rsidP="00000000" w:rsidRDefault="00000000" w:rsidRPr="00000000" w14:paraId="000000C1">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utiliza acesti termeni/concepte pentru  interpretarea unor situatii socio-politice concrete. </w:t>
            </w:r>
          </w:p>
        </w:tc>
      </w:tr>
      <w:tr>
        <w:trPr>
          <w:cantSplit w:val="0"/>
          <w:trHeight w:val="315" w:hRule="atLeast"/>
          <w:tblHeader w:val="0"/>
        </w:trPr>
        <w:tc>
          <w:tcPr>
            <w:vMerge w:val="continue"/>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3">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Utilizarea metodei comparative si a teoriilor spatiale pentru analizarea și interpretarea unor procese specifice sistemelor social-politice contemporane;</w:t>
            </w:r>
          </w:p>
        </w:tc>
      </w:tr>
      <w:tr>
        <w:trPr>
          <w:cantSplit w:val="0"/>
          <w:trHeight w:val="273" w:hRule="atLeast"/>
          <w:tblHeader w:val="0"/>
        </w:trPr>
        <w:tc>
          <w:tcPr>
            <w:vMerge w:val="continue"/>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C5">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folosi teoriile despre comportament electoral pentru a explica procesul electoral din România. </w:t>
            </w:r>
          </w:p>
        </w:tc>
      </w:tr>
    </w:tbl>
    <w:p w:rsidR="00000000" w:rsidDel="00000000" w:rsidP="00000000" w:rsidRDefault="00000000" w:rsidRPr="00000000" w14:paraId="000000C6">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C8">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folosită în cadrul cursului de Comportamentul Votantului (CV) are în vedere fundamente constructiviste. Învățarea este considerată a fi un proces activ și explicit în care studenții acumulează concepte noi folosind cunoașterea lor prezentă. Cadrul didactic (titular curs și seminar) iși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 </w:t>
      </w:r>
    </w:p>
    <w:p w:rsidR="00000000" w:rsidDel="00000000" w:rsidP="00000000" w:rsidRDefault="00000000" w:rsidRPr="00000000" w14:paraId="000000C9">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8"/>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p w:rsidR="00000000" w:rsidDel="00000000" w:rsidP="00000000" w:rsidRDefault="00000000" w:rsidRPr="00000000" w14:paraId="000000CA">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p w:rsidR="00000000" w:rsidDel="00000000" w:rsidP="00000000" w:rsidRDefault="00000000" w:rsidRPr="00000000" w14:paraId="000000C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p w:rsidR="00000000" w:rsidDel="00000000" w:rsidP="00000000" w:rsidRDefault="00000000" w:rsidRPr="00000000" w14:paraId="000000C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C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Suport de curs/materiale bibliografice</w:t>
            </w:r>
          </w:p>
        </w:tc>
      </w:tr>
    </w:tbl>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tbl>
      <w:tblPr>
        <w:tblStyle w:val="Table9"/>
        <w:tblpPr w:leftFromText="180" w:rightFromText="180" w:topFromText="0" w:bottomFromText="0" w:vertAnchor="text" w:horzAnchor="text" w:tblpX="0" w:tblpY="1178"/>
        <w:tblW w:w="9750.0" w:type="dxa"/>
        <w:jc w:val="left"/>
        <w:tblLayout w:type="fixed"/>
        <w:tblLook w:val="0000"/>
      </w:tblPr>
      <w:tblGrid>
        <w:gridCol w:w="645"/>
        <w:gridCol w:w="2145"/>
        <w:gridCol w:w="3420"/>
        <w:gridCol w:w="2340"/>
        <w:gridCol w:w="1200"/>
        <w:tblGridChange w:id="0">
          <w:tblGrid>
            <w:gridCol w:w="645"/>
            <w:gridCol w:w="2145"/>
            <w:gridCol w:w="3420"/>
            <w:gridCol w:w="2340"/>
            <w:gridCol w:w="1200"/>
          </w:tblGrid>
        </w:tblGridChange>
      </w:tblGrid>
      <w:tr>
        <w:trPr>
          <w:cantSplit w:val="0"/>
          <w:tblHeader w:val="0"/>
        </w:trPr>
        <w:tc>
          <w:tcPr>
            <w:gridSpan w:val="5"/>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F">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4">
            <w:pPr>
              <w:spacing w:after="0" w:lineRule="auto"/>
              <w:rPr>
                <w:rFonts w:ascii="Times New Roman" w:cs="Times New Roman" w:eastAsia="Times New Roman" w:hAnsi="Times New Roman"/>
                <w:b w:val="1"/>
                <w:bCs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8">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Paginile</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Gallagher,M. si Mitchell, P. (ed.)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The Politics of Electoral Systems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Oxford University Press, 2005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Riker, W.H.</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Two-Party System and Duverger’s Law: An Essay on the History of Political Science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American Political Science Review 76:4, 1982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753-766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Boix, 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Setting the Rules of the Game: The Choice of Electoral Systems in Advanced Democracies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American Political Science Review 93:3, 1999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609-624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Downs, 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Economic Theory of Political Action in a Democracy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Journal of Political Economy, Vol. 65: 2, 1957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135-150</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Rabinowitz, G.,  Macdonald S.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E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Directional Theory of Issue Voting</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American Political Science Review, Vol. 83:1, 1989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92-121</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Volacu, Roescu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Analiza spațială a competiției electorale / Modele alternative de analiză spațială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5">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Tritonic, 2015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fragmente</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Merrill, S., Grofman, 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Unified Theory of Voting: Directional and Proximity Spatial Models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A">
            <w:pPr>
              <w:spacing w:after="0"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Cambridge University Press, 2003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1-9 si 19-32.</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Volacu, Roescu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Modele Neoclasice ale comportamentului electoral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F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Tritonic, 2015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integral</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Gheață</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3">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Participarea electorală a cetățenilor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4">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Polirom, 2014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fragmente</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Brennan, G., Lomasky, 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Impartial Spectator Goes to Washington: Toward a Smithian Theory of Electoral Behavior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Economics and Philosophy, 1,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189-211</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Sussman, A., Petkova, K, Todorov, 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Competence ratings in US predict presidential election outcomes in Bulgaria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Journal of Experimental Social Psychology 49 (2013)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0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771–775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Todorov, A. et al.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Inferences of Competence from Faces Predict Election Outcomes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Science Vol 308 10, 2005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1623-1626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5">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Jankowski, 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Buying a Lottery Ticket to Help the Poor: Altruism, Civic Duty, and Self-interest in the Decision to Vote”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Rationality and Society, 14(1)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55-77</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Volacu, Roescu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Sisteme electorale și comportament strategic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Tritonic, 2015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integral</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1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Caplan, B.</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Rational Ignorance versus Rational Irrationality</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2">
            <w:pPr>
              <w:pBdr>
                <w:top w:space="0" w:sz="0" w:val="nil"/>
                <w:left w:space="0" w:sz="0" w:val="nil"/>
                <w:bottom w:space="0" w:sz="0" w:val="nil"/>
                <w:right w:space="0" w:sz="0" w:val="nil"/>
                <w:between w:space="0" w:sz="0" w:val="nil"/>
              </w:pBdr>
              <w:ind w:left="567" w:hanging="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Kyklos, 54(1), 2001</w:t>
            </w:r>
          </w:p>
          <w:p w:rsidR="00000000" w:rsidDel="00000000" w:rsidP="00000000" w:rsidRDefault="00000000" w:rsidRPr="00000000" w14:paraId="00000123">
            <w:pPr>
              <w:spacing w:after="0" w:lineRule="auto"/>
              <w:ind w:left="-20" w:firstLine="20"/>
              <w:jc w:val="both"/>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3-26.</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Acevedo, M., Krueger, J.</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Two Egocentric Sources of the Decision to Vote: The Voter’s Illusion and the Belief in Personal Relevance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8">
            <w:pPr>
              <w:ind w:left="34" w:hanging="3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Political Psychology, Vol. 25, No. 1, 2004</w:t>
            </w:r>
          </w:p>
          <w:p w:rsidR="00000000" w:rsidDel="00000000" w:rsidP="00000000" w:rsidRDefault="00000000" w:rsidRPr="00000000" w14:paraId="00000129">
            <w:pPr>
              <w:spacing w:after="0" w:lineRule="auto"/>
              <w:jc w:val="center"/>
              <w:rPr>
                <w:rFonts w:ascii="Times New Roman" w:cs="Times New Roman" w:eastAsia="Times New Roman" w:hAnsi="Times New Roman"/>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115-134.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Ungureanu, Roescu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Economic Models of Voting: An Empirical Study on the Electoral Behavior in Romanian </w:t>
            </w:r>
          </w:p>
          <w:p w:rsidR="00000000" w:rsidDel="00000000" w:rsidP="00000000" w:rsidRDefault="00000000" w:rsidRPr="00000000" w14:paraId="0000012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2012 Parliamentary Elections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2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Theoretical and Applied Economics Volume XXII (2015), No. 3(604), pp. 63-74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integral</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2">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Diaconu, D (în Ungureanu ed.)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Modele psihologice și comportamentale ale votului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În curs de apariție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3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integral</w:t>
            </w:r>
          </w:p>
        </w:tc>
      </w:tr>
    </w:tbl>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G1. BIBLIOGRAFIE</w:t>
      </w:r>
      <w:r w:rsidDel="00000000" w:rsidR="00000000" w:rsidRPr="00000000">
        <w:rPr>
          <w:rFonts w:ascii="Times New Roman" w:cs="Times New Roman" w:eastAsia="Times New Roman" w:hAnsi="Times New Roman"/>
          <w:b w:val="1"/>
          <w:bCs w:val="1"/>
          <w:color w:val="000000"/>
          <w:rtl w:val="0"/>
        </w:rPr>
        <w:t xml:space="preserve"> </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i w:val="1"/>
          <w:iCs w:val="1"/>
          <w:color w:val="000000"/>
          <w:rtl w:val="0"/>
        </w:rPr>
        <w:t xml:space="preserve">Se indică bibliografia minimală obligatorie)</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39">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r w:rsidDel="00000000" w:rsidR="00000000" w:rsidRPr="00000000">
        <w:rPr>
          <w:rtl w:val="0"/>
        </w:rPr>
      </w:r>
    </w:p>
    <w:p w:rsidR="00000000" w:rsidDel="00000000" w:rsidP="00000000" w:rsidRDefault="00000000" w:rsidRPr="00000000" w14:paraId="0000013A">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Mihai Ungureanu</w:t>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color w:val="000000"/>
          <w:sz w:val="20"/>
          <w:szCs w:val="20"/>
          <w:rtl w:val="0"/>
        </w:rPr>
        <w:t xml:space="preserve"> SIc = studiu individual curs, SIs = studiu individual seminar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38295" cy="473075"/>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38295" cy="473075"/>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5"/>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5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3"/>
      <w:numFmt w:val="bullet"/>
      <w:lvlText w:val="-"/>
      <w:lvlJc w:val="left"/>
      <w:pPr>
        <w:ind w:left="1440" w:hanging="360"/>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paragraph" w:styleId="NormalWeb">
    <w:name w:val="Normal (Web)"/>
    <w:basedOn w:val="Normal"/>
    <w:uiPriority w:val="99"/>
    <w:unhideWhenUsed w:val="1"/>
    <w:rsid w:val="00B741A2"/>
    <w:pPr>
      <w:spacing w:after="100" w:afterAutospacing="1" w:before="100" w:beforeAutospacing="1" w:line="240" w:lineRule="auto"/>
      <w:ind w:firstLine="720"/>
      <w:jc w:val="both"/>
    </w:pPr>
    <w:rPr>
      <w:rFonts w:ascii="Times New Roman" w:eastAsia="Times New Roman" w:hAnsi="Times New Roman"/>
      <w:sz w:val="24"/>
      <w:szCs w:val="24"/>
      <w:lang w:eastAsia="ro-RO"/>
    </w:rPr>
  </w:style>
  <w:style w:type="character" w:styleId="CommentReference">
    <w:name w:val="annotation reference"/>
    <w:basedOn w:val="DefaultParagraphFont"/>
    <w:uiPriority w:val="99"/>
    <w:semiHidden w:val="1"/>
    <w:unhideWhenUsed w:val="1"/>
    <w:rsid w:val="00552089"/>
    <w:rPr>
      <w:sz w:val="16"/>
      <w:szCs w:val="16"/>
    </w:rPr>
  </w:style>
  <w:style w:type="paragraph" w:styleId="CommentText">
    <w:name w:val="annotation text"/>
    <w:basedOn w:val="Normal"/>
    <w:link w:val="CommentTextChar"/>
    <w:uiPriority w:val="99"/>
    <w:semiHidden w:val="1"/>
    <w:unhideWhenUsed w:val="1"/>
    <w:rsid w:val="00552089"/>
    <w:pPr>
      <w:spacing w:line="240" w:lineRule="auto"/>
    </w:pPr>
    <w:rPr>
      <w:sz w:val="20"/>
      <w:szCs w:val="20"/>
    </w:rPr>
  </w:style>
  <w:style w:type="character" w:styleId="CommentTextChar" w:customStyle="1">
    <w:name w:val="Comment Text Char"/>
    <w:basedOn w:val="DefaultParagraphFont"/>
    <w:link w:val="CommentText"/>
    <w:uiPriority w:val="99"/>
    <w:semiHidden w:val="1"/>
    <w:rsid w:val="00552089"/>
    <w:rPr>
      <w:lang w:val="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ISxM+mCwG+MCL7OQmFOHTZhnsQ==">CgMxLjA4AHIhMW1RbEt4T0dUOElpWDE5YzhFdUtabFZuTVZxTkVELXBY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2018-05-14T01:02:00Z</dcterms:created>
  <dc:creator>33</dc:creator>
</cp:coreProperties>
</file>